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07863" w14:textId="77777777" w:rsidR="002362CC" w:rsidRDefault="00F62611">
      <w:pPr>
        <w:spacing w:after="409" w:line="259" w:lineRule="auto"/>
        <w:ind w:left="0" w:right="0" w:firstLine="0"/>
      </w:pPr>
      <w:r>
        <w:rPr>
          <w:noProof/>
        </w:rPr>
        <w:drawing>
          <wp:inline distT="0" distB="0" distL="0" distR="0" wp14:anchorId="391E7FB4" wp14:editId="6215E42C">
            <wp:extent cx="6324600" cy="10096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2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73C30" w14:textId="77777777" w:rsidR="002362CC" w:rsidRDefault="00F62611">
      <w:pPr>
        <w:spacing w:after="217" w:line="259" w:lineRule="auto"/>
        <w:ind w:left="0" w:right="0" w:firstLine="0"/>
      </w:pPr>
      <w:r>
        <w:rPr>
          <w:b/>
          <w:sz w:val="35"/>
        </w:rPr>
        <w:t>Part 1, Section I: Chart of Accounts</w:t>
      </w:r>
    </w:p>
    <w:p w14:paraId="4F4CEF8D" w14:textId="38957766" w:rsidR="002362CC" w:rsidRDefault="00F62611">
      <w:pPr>
        <w:ind w:left="-5" w:right="653"/>
      </w:pPr>
      <w:r>
        <w:t>The Chart of Accounts provides the basic structure for the U.S. Standard General Ledger (USSGL). It</w:t>
      </w:r>
      <w:r>
        <w:t xml:space="preserve"> </w:t>
      </w:r>
      <w:r>
        <w:t>incorporates both proprietary and budgetary accounts. The proprietary and budgetary sets of general ledger</w:t>
      </w:r>
      <w:r>
        <w:t xml:space="preserve"> </w:t>
      </w:r>
      <w:r>
        <w:t xml:space="preserve">accounts are </w:t>
      </w:r>
      <w:r w:rsidR="000C1EE8">
        <w:t>self-balancing</w:t>
      </w:r>
      <w:r>
        <w:t xml:space="preserve"> (the total debits equal total credits). It is important to note that central agency</w:t>
      </w:r>
      <w:r>
        <w:t xml:space="preserve"> </w:t>
      </w:r>
      <w:r>
        <w:t>reporting requires a lower level of d</w:t>
      </w:r>
      <w:r>
        <w:t>etail than the 6-digit USSGL account numbers provided. Therefore, the</w:t>
      </w:r>
      <w:r>
        <w:t xml:space="preserve"> </w:t>
      </w:r>
      <w:r>
        <w:t>USSGL Board developed attributes containing various domain values that, when added to a basic 6-digit</w:t>
      </w:r>
      <w:r>
        <w:t xml:space="preserve"> </w:t>
      </w:r>
      <w:r>
        <w:t>USSGL account, provide the appropriate level of detail needed for central agency rep</w:t>
      </w:r>
      <w:r>
        <w:t>orting and, in effect,</w:t>
      </w:r>
      <w:r>
        <w:t xml:space="preserve"> </w:t>
      </w:r>
      <w:r>
        <w:t>create new USSGL accounts. See Section IV for attribute definitions and domain values. It is this lower</w:t>
      </w:r>
      <w:r>
        <w:t xml:space="preserve"> </w:t>
      </w:r>
      <w:r>
        <w:t>level of detail, the basic 6-digit USSGL account plus applicable attribute domain values, that agencies must</w:t>
      </w:r>
      <w:r>
        <w:t xml:space="preserve"> </w:t>
      </w:r>
      <w:r>
        <w:t>capture at the trans</w:t>
      </w:r>
      <w:r>
        <w:t>action level to (1) comply with USSGL policy, and (2) achieve the desired result for</w:t>
      </w:r>
      <w:r>
        <w:t xml:space="preserve"> </w:t>
      </w:r>
      <w:r>
        <w:t>proper reporting.</w:t>
      </w:r>
    </w:p>
    <w:p w14:paraId="558EE690" w14:textId="77777777" w:rsidR="002362CC" w:rsidRDefault="00F62611">
      <w:pPr>
        <w:ind w:left="-5" w:right="653"/>
      </w:pPr>
      <w:r>
        <w:t>The basic 6-digit USSGL accounts are classified as follows:</w:t>
      </w:r>
    </w:p>
    <w:p w14:paraId="66300331" w14:textId="77777777" w:rsidR="002362CC" w:rsidRDefault="00F62611">
      <w:pPr>
        <w:spacing w:after="313" w:line="296" w:lineRule="auto"/>
        <w:ind w:left="175" w:right="0"/>
      </w:pPr>
      <w:r>
        <w:rPr>
          <w:b/>
        </w:rPr>
        <w:t xml:space="preserve"> 100000 Assets</w:t>
      </w:r>
    </w:p>
    <w:p w14:paraId="5AF769AF" w14:textId="77777777" w:rsidR="002362CC" w:rsidRDefault="00F62611">
      <w:pPr>
        <w:spacing w:after="313" w:line="296" w:lineRule="auto"/>
        <w:ind w:left="175" w:right="0"/>
      </w:pPr>
      <w:r>
        <w:rPr>
          <w:b/>
        </w:rPr>
        <w:t xml:space="preserve"> 200000 Liabilities</w:t>
      </w:r>
    </w:p>
    <w:p w14:paraId="609E3437" w14:textId="77777777" w:rsidR="002362CC" w:rsidRDefault="00F62611">
      <w:pPr>
        <w:spacing w:after="313" w:line="296" w:lineRule="auto"/>
        <w:ind w:left="175" w:right="0"/>
      </w:pPr>
      <w:r>
        <w:rPr>
          <w:b/>
        </w:rPr>
        <w:t xml:space="preserve"> 300000 Net Position</w:t>
      </w:r>
      <w:bookmarkStart w:id="0" w:name="_GoBack"/>
      <w:bookmarkEnd w:id="0"/>
    </w:p>
    <w:p w14:paraId="3046136C" w14:textId="77777777" w:rsidR="002362CC" w:rsidRDefault="00F62611">
      <w:pPr>
        <w:spacing w:after="313" w:line="296" w:lineRule="auto"/>
        <w:ind w:left="175" w:right="0"/>
      </w:pPr>
      <w:r>
        <w:rPr>
          <w:b/>
        </w:rPr>
        <w:t xml:space="preserve"> 400000 Budgetary</w:t>
      </w:r>
    </w:p>
    <w:p w14:paraId="0B63F03A" w14:textId="77777777" w:rsidR="002362CC" w:rsidRDefault="00F62611">
      <w:pPr>
        <w:spacing w:after="313" w:line="296" w:lineRule="auto"/>
        <w:ind w:left="175" w:right="0"/>
      </w:pPr>
      <w:r>
        <w:rPr>
          <w:b/>
        </w:rPr>
        <w:t xml:space="preserve"> 500000 Revenue and</w:t>
      </w:r>
      <w:r>
        <w:rPr>
          <w:b/>
        </w:rPr>
        <w:t xml:space="preserve"> Other Financing Sources</w:t>
      </w:r>
    </w:p>
    <w:p w14:paraId="14039A52" w14:textId="77777777" w:rsidR="002362CC" w:rsidRDefault="00F62611">
      <w:pPr>
        <w:spacing w:after="313" w:line="296" w:lineRule="auto"/>
        <w:ind w:left="175" w:right="0"/>
      </w:pPr>
      <w:r>
        <w:rPr>
          <w:b/>
        </w:rPr>
        <w:t xml:space="preserve"> 600000 Expenses</w:t>
      </w:r>
    </w:p>
    <w:p w14:paraId="6943E692" w14:textId="77777777" w:rsidR="002362CC" w:rsidRDefault="00F62611">
      <w:pPr>
        <w:spacing w:after="313" w:line="296" w:lineRule="auto"/>
        <w:ind w:left="175" w:right="0"/>
      </w:pPr>
      <w:r>
        <w:rPr>
          <w:b/>
        </w:rPr>
        <w:t xml:space="preserve"> 700000 Gains/Losses/Miscellaneous Items</w:t>
      </w:r>
    </w:p>
    <w:p w14:paraId="6CF16460" w14:textId="77777777" w:rsidR="002362CC" w:rsidRDefault="00F62611">
      <w:pPr>
        <w:spacing w:after="313" w:line="296" w:lineRule="auto"/>
        <w:ind w:left="175" w:right="0"/>
      </w:pPr>
      <w:r>
        <w:rPr>
          <w:b/>
        </w:rPr>
        <w:t xml:space="preserve"> 800000 Memorandum</w:t>
      </w:r>
    </w:p>
    <w:p w14:paraId="03A4A1F4" w14:textId="7B59412C" w:rsidR="002362CC" w:rsidRDefault="00F62611">
      <w:pPr>
        <w:spacing w:after="300"/>
        <w:ind w:left="0" w:right="1084" w:firstLine="0"/>
        <w:jc w:val="both"/>
      </w:pPr>
      <w:r>
        <w:t>Agencies may expand this numbering system to as many digits as necessary to accommodate agency</w:t>
      </w:r>
      <w:r w:rsidR="000C1EE8">
        <w:t xml:space="preserve"> </w:t>
      </w:r>
      <w:r>
        <w:t>specific requirements. However, subsidiary accounts must sum</w:t>
      </w:r>
      <w:r>
        <w:t>marize or “roll up” to the 6-digit USSGL accounts plus any related attributes.</w:t>
      </w:r>
    </w:p>
    <w:p w14:paraId="6E3A4DE2" w14:textId="77777777" w:rsidR="000C1EE8" w:rsidRDefault="00F62611" w:rsidP="000C1EE8">
      <w:pPr>
        <w:spacing w:after="1511"/>
        <w:ind w:left="-5" w:right="653"/>
      </w:pPr>
      <w:r>
        <w:t>In February 1999, the USSGL Board voted to delete summary accounts. However, agencies may summarize accounts as they find useful. Section headings replace many of the deleted su</w:t>
      </w:r>
      <w:r>
        <w:t>mmary accounts to maintain the integrity of the account structure.</w:t>
      </w:r>
    </w:p>
    <w:sectPr w:rsidR="000C1EE8">
      <w:footerReference w:type="default" r:id="rId7"/>
      <w:pgSz w:w="12240" w:h="15840"/>
      <w:pgMar w:top="630" w:right="720" w:bottom="1440" w:left="13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768A1" w14:textId="77777777" w:rsidR="000C1EE8" w:rsidRDefault="000C1EE8" w:rsidP="000C1EE8">
      <w:pPr>
        <w:spacing w:after="0" w:line="240" w:lineRule="auto"/>
      </w:pPr>
      <w:r>
        <w:separator/>
      </w:r>
    </w:p>
  </w:endnote>
  <w:endnote w:type="continuationSeparator" w:id="0">
    <w:p w14:paraId="1716CAB6" w14:textId="77777777" w:rsidR="000C1EE8" w:rsidRDefault="000C1EE8" w:rsidP="000C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36705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B12EE0" w14:textId="1096BBC9" w:rsidR="000C1EE8" w:rsidRDefault="000C1EE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E63AF4" w14:textId="77777777" w:rsidR="000C1EE8" w:rsidRDefault="000C1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9C99D" w14:textId="77777777" w:rsidR="000C1EE8" w:rsidRDefault="000C1EE8" w:rsidP="000C1EE8">
      <w:pPr>
        <w:spacing w:after="0" w:line="240" w:lineRule="auto"/>
      </w:pPr>
      <w:r>
        <w:separator/>
      </w:r>
    </w:p>
  </w:footnote>
  <w:footnote w:type="continuationSeparator" w:id="0">
    <w:p w14:paraId="657EF076" w14:textId="77777777" w:rsidR="000C1EE8" w:rsidRDefault="000C1EE8" w:rsidP="000C1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2CC"/>
    <w:rsid w:val="000C1EE8"/>
    <w:rsid w:val="002362CC"/>
    <w:rsid w:val="00F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C08D"/>
  <w15:docId w15:val="{FAA7DAFF-9CE2-4281-9F60-7A2E5B0E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303" w:line="305" w:lineRule="auto"/>
      <w:ind w:left="10" w:right="603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EE8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C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EE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USSGL Part 2 Section I Cover Page</vt:lpstr>
    </vt:vector>
  </TitlesOfParts>
  <Company>BFS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2 Section I Cover Page</dc:title>
  <dc:subject/>
  <dc:creator>Heather D. Six</dc:creator>
  <cp:keywords/>
  <cp:lastModifiedBy>Heather D. Six</cp:lastModifiedBy>
  <cp:revision>2</cp:revision>
  <dcterms:created xsi:type="dcterms:W3CDTF">2020-05-13T19:14:00Z</dcterms:created>
  <dcterms:modified xsi:type="dcterms:W3CDTF">2020-05-13T19:14:00Z</dcterms:modified>
</cp:coreProperties>
</file>